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6EDC" w14:textId="77777777" w:rsidR="001178EC" w:rsidRPr="00C24F5A" w:rsidRDefault="001178EC" w:rsidP="001178EC">
      <w:pPr>
        <w:jc w:val="center"/>
        <w:rPr>
          <w:b/>
          <w:sz w:val="24"/>
          <w:szCs w:val="24"/>
        </w:rPr>
      </w:pPr>
      <w:bookmarkStart w:id="0" w:name="_Hlk134457429"/>
      <w:r w:rsidRPr="00C24F5A">
        <w:rPr>
          <w:rFonts w:hint="eastAsia"/>
          <w:b/>
          <w:sz w:val="24"/>
          <w:szCs w:val="24"/>
        </w:rPr>
        <w:t>学校において予防すべき感染症の出席停止措置について</w:t>
      </w:r>
      <w:bookmarkEnd w:id="0"/>
    </w:p>
    <w:p w14:paraId="0B0BDF97" w14:textId="77777777" w:rsidR="00796415" w:rsidRDefault="001178EC" w:rsidP="001178EC">
      <w:pPr>
        <w:ind w:firstLineChars="50" w:firstLine="105"/>
      </w:pPr>
      <w:r>
        <w:rPr>
          <w:rFonts w:hint="eastAsia"/>
        </w:rPr>
        <w:t>学校保健安全法第１９条により，生徒が感染症にかかった場合，学校での蔓延・流行を防ぐため出席停止の措置をとることができます。下記の感染症と診断された場合は，主治医より指示のあった期間は登校を控え，ご家庭でゆっくり療養され，「登校可」の診断後，登校するようにしてください。</w:t>
      </w:r>
    </w:p>
    <w:tbl>
      <w:tblPr>
        <w:tblStyle w:val="a3"/>
        <w:tblW w:w="0" w:type="auto"/>
        <w:tblLook w:val="04A0" w:firstRow="1" w:lastRow="0" w:firstColumn="1" w:lastColumn="0" w:noHBand="0" w:noVBand="1"/>
      </w:tblPr>
      <w:tblGrid>
        <w:gridCol w:w="1370"/>
        <w:gridCol w:w="3643"/>
        <w:gridCol w:w="5181"/>
      </w:tblGrid>
      <w:tr w:rsidR="001178EC" w14:paraId="0983E537" w14:textId="77777777" w:rsidTr="00B30066">
        <w:tc>
          <w:tcPr>
            <w:tcW w:w="10314" w:type="dxa"/>
            <w:gridSpan w:val="3"/>
          </w:tcPr>
          <w:p w14:paraId="618D6C62" w14:textId="77777777" w:rsidR="001178EC" w:rsidRDefault="001178EC" w:rsidP="001178EC">
            <w:pPr>
              <w:jc w:val="center"/>
            </w:pPr>
            <w:r w:rsidRPr="001178EC">
              <w:rPr>
                <w:rFonts w:hint="eastAsia"/>
              </w:rPr>
              <w:t>学校において予防すべき感染症の種類と出席停止期間</w:t>
            </w:r>
          </w:p>
        </w:tc>
      </w:tr>
      <w:tr w:rsidR="001178EC" w14:paraId="625DAB67" w14:textId="77777777" w:rsidTr="00F24472">
        <w:tc>
          <w:tcPr>
            <w:tcW w:w="1384" w:type="dxa"/>
          </w:tcPr>
          <w:p w14:paraId="23FD1AE4" w14:textId="5EAB5364" w:rsidR="001178EC" w:rsidRPr="001178EC" w:rsidRDefault="00F24472" w:rsidP="001178EC">
            <w:r>
              <w:rPr>
                <w:rFonts w:hint="eastAsia"/>
              </w:rPr>
              <w:t>学校保健法</w:t>
            </w:r>
          </w:p>
        </w:tc>
        <w:tc>
          <w:tcPr>
            <w:tcW w:w="3686" w:type="dxa"/>
            <w:vAlign w:val="center"/>
          </w:tcPr>
          <w:p w14:paraId="3FFD613D" w14:textId="77777777" w:rsidR="001178EC" w:rsidRDefault="001178EC" w:rsidP="00014F40">
            <w:pPr>
              <w:jc w:val="center"/>
            </w:pPr>
            <w:r>
              <w:rPr>
                <w:rFonts w:hint="eastAsia"/>
              </w:rPr>
              <w:t>疾病名</w:t>
            </w:r>
          </w:p>
        </w:tc>
        <w:tc>
          <w:tcPr>
            <w:tcW w:w="5244" w:type="dxa"/>
            <w:vAlign w:val="center"/>
          </w:tcPr>
          <w:p w14:paraId="768834C7" w14:textId="77777777" w:rsidR="001178EC" w:rsidRDefault="001178EC" w:rsidP="00014F40">
            <w:pPr>
              <w:jc w:val="center"/>
            </w:pPr>
            <w:r>
              <w:rPr>
                <w:rFonts w:hint="eastAsia"/>
              </w:rPr>
              <w:t>出席停止期間</w:t>
            </w:r>
          </w:p>
        </w:tc>
      </w:tr>
      <w:tr w:rsidR="001178EC" w14:paraId="48F332F9" w14:textId="77777777" w:rsidTr="00F24472">
        <w:tc>
          <w:tcPr>
            <w:tcW w:w="1384" w:type="dxa"/>
            <w:vAlign w:val="center"/>
          </w:tcPr>
          <w:p w14:paraId="3E858B06" w14:textId="1F5F2C91" w:rsidR="001178EC" w:rsidRDefault="001178EC" w:rsidP="00014F40">
            <w:pPr>
              <w:jc w:val="center"/>
            </w:pPr>
            <w:r>
              <w:rPr>
                <w:rFonts w:hint="eastAsia"/>
              </w:rPr>
              <w:t>第一</w:t>
            </w:r>
            <w:r w:rsidR="00F24472">
              <w:rPr>
                <w:rFonts w:hint="eastAsia"/>
              </w:rPr>
              <w:t>種</w:t>
            </w:r>
          </w:p>
        </w:tc>
        <w:tc>
          <w:tcPr>
            <w:tcW w:w="3686" w:type="dxa"/>
            <w:vAlign w:val="center"/>
          </w:tcPr>
          <w:p w14:paraId="243341A5" w14:textId="77777777" w:rsidR="001178EC" w:rsidRDefault="001178EC" w:rsidP="00014F40">
            <w:pPr>
              <w:jc w:val="center"/>
            </w:pPr>
            <w:r>
              <w:rPr>
                <w:rFonts w:hint="eastAsia"/>
              </w:rPr>
              <w:t>感染症法の一類，二類</w:t>
            </w:r>
          </w:p>
        </w:tc>
        <w:tc>
          <w:tcPr>
            <w:tcW w:w="5244" w:type="dxa"/>
          </w:tcPr>
          <w:p w14:paraId="5D6A0FF6" w14:textId="77777777" w:rsidR="001178EC" w:rsidRDefault="001178EC" w:rsidP="001178EC">
            <w:r>
              <w:rPr>
                <w:rFonts w:hint="eastAsia"/>
              </w:rPr>
              <w:t>治癒するまで</w:t>
            </w:r>
          </w:p>
        </w:tc>
      </w:tr>
      <w:tr w:rsidR="00014F40" w14:paraId="65778523" w14:textId="77777777" w:rsidTr="00F24472">
        <w:tc>
          <w:tcPr>
            <w:tcW w:w="1384" w:type="dxa"/>
            <w:vMerge w:val="restart"/>
            <w:vAlign w:val="center"/>
          </w:tcPr>
          <w:p w14:paraId="34F755CC" w14:textId="21940DF8" w:rsidR="00014F40" w:rsidRDefault="00014F40" w:rsidP="00014F40">
            <w:pPr>
              <w:jc w:val="center"/>
            </w:pPr>
            <w:r>
              <w:rPr>
                <w:rFonts w:hint="eastAsia"/>
              </w:rPr>
              <w:t>第二</w:t>
            </w:r>
            <w:r w:rsidR="00F24472">
              <w:rPr>
                <w:rFonts w:hint="eastAsia"/>
              </w:rPr>
              <w:t>種</w:t>
            </w:r>
          </w:p>
        </w:tc>
        <w:tc>
          <w:tcPr>
            <w:tcW w:w="3686" w:type="dxa"/>
            <w:vAlign w:val="center"/>
          </w:tcPr>
          <w:p w14:paraId="0FA336B3" w14:textId="77777777" w:rsidR="00014F40" w:rsidRDefault="00014F40" w:rsidP="00014F40">
            <w:pPr>
              <w:jc w:val="center"/>
            </w:pPr>
            <w:r>
              <w:rPr>
                <w:rFonts w:hint="eastAsia"/>
              </w:rPr>
              <w:t>インフルエンザ</w:t>
            </w:r>
          </w:p>
        </w:tc>
        <w:tc>
          <w:tcPr>
            <w:tcW w:w="5244" w:type="dxa"/>
          </w:tcPr>
          <w:p w14:paraId="03761E5D" w14:textId="77777777" w:rsidR="00014F40" w:rsidRDefault="00014F40" w:rsidP="00B30066">
            <w:r>
              <w:rPr>
                <w:rFonts w:hint="eastAsia"/>
              </w:rPr>
              <w:t>発症した後五日を経過し，かつ，解熱した後二日を経過するまで</w:t>
            </w:r>
          </w:p>
        </w:tc>
      </w:tr>
      <w:tr w:rsidR="002B1110" w14:paraId="3FDD3CBC" w14:textId="77777777" w:rsidTr="00F24472">
        <w:tc>
          <w:tcPr>
            <w:tcW w:w="1384" w:type="dxa"/>
            <w:vMerge/>
            <w:vAlign w:val="center"/>
          </w:tcPr>
          <w:p w14:paraId="189D6B64" w14:textId="77777777" w:rsidR="002B1110" w:rsidRDefault="002B1110" w:rsidP="00014F40">
            <w:pPr>
              <w:jc w:val="center"/>
            </w:pPr>
          </w:p>
        </w:tc>
        <w:tc>
          <w:tcPr>
            <w:tcW w:w="3686" w:type="dxa"/>
            <w:vAlign w:val="center"/>
          </w:tcPr>
          <w:p w14:paraId="6A2DA1E9" w14:textId="3C079145" w:rsidR="002B1110" w:rsidRDefault="002B1110" w:rsidP="00014F40">
            <w:pPr>
              <w:jc w:val="center"/>
            </w:pPr>
            <w:r>
              <w:rPr>
                <w:rFonts w:hint="eastAsia"/>
              </w:rPr>
              <w:t>新型コロナ</w:t>
            </w:r>
          </w:p>
        </w:tc>
        <w:tc>
          <w:tcPr>
            <w:tcW w:w="5244" w:type="dxa"/>
          </w:tcPr>
          <w:p w14:paraId="73A94587" w14:textId="16FD55C9" w:rsidR="002B1110" w:rsidRDefault="002B1110" w:rsidP="002B1110">
            <w:r>
              <w:rPr>
                <w:rFonts w:hint="eastAsia"/>
              </w:rPr>
              <w:t>発症した後五日を経過し，，かつ症状軽快後一日経過するまで</w:t>
            </w:r>
          </w:p>
        </w:tc>
      </w:tr>
      <w:tr w:rsidR="00014F40" w14:paraId="34770E1A" w14:textId="77777777" w:rsidTr="00F24472">
        <w:tc>
          <w:tcPr>
            <w:tcW w:w="1384" w:type="dxa"/>
            <w:vMerge/>
            <w:vAlign w:val="center"/>
          </w:tcPr>
          <w:p w14:paraId="353B8820" w14:textId="77777777" w:rsidR="00014F40" w:rsidRDefault="00014F40" w:rsidP="00014F40">
            <w:pPr>
              <w:jc w:val="center"/>
            </w:pPr>
          </w:p>
        </w:tc>
        <w:tc>
          <w:tcPr>
            <w:tcW w:w="3686" w:type="dxa"/>
            <w:vAlign w:val="center"/>
          </w:tcPr>
          <w:p w14:paraId="47E2097E" w14:textId="77777777" w:rsidR="00014F40" w:rsidRDefault="00014F40" w:rsidP="00014F40">
            <w:pPr>
              <w:jc w:val="center"/>
            </w:pPr>
            <w:r>
              <w:rPr>
                <w:rFonts w:hint="eastAsia"/>
              </w:rPr>
              <w:t>百日咳</w:t>
            </w:r>
          </w:p>
        </w:tc>
        <w:tc>
          <w:tcPr>
            <w:tcW w:w="5244" w:type="dxa"/>
          </w:tcPr>
          <w:p w14:paraId="459306C2" w14:textId="77777777" w:rsidR="00014F40" w:rsidRDefault="00014F40" w:rsidP="00B30066">
            <w:r>
              <w:rPr>
                <w:rFonts w:hint="eastAsia"/>
              </w:rPr>
              <w:t>特有の咳が消失するまで，または五日間の適正な抗菌性物質製剤による治療が終了するまで</w:t>
            </w:r>
          </w:p>
        </w:tc>
      </w:tr>
      <w:tr w:rsidR="00014F40" w14:paraId="335E40C2" w14:textId="77777777" w:rsidTr="00F24472">
        <w:tc>
          <w:tcPr>
            <w:tcW w:w="1384" w:type="dxa"/>
            <w:vMerge/>
            <w:vAlign w:val="center"/>
          </w:tcPr>
          <w:p w14:paraId="5664DC2D" w14:textId="77777777" w:rsidR="00014F40" w:rsidRDefault="00014F40" w:rsidP="00014F40">
            <w:pPr>
              <w:jc w:val="center"/>
            </w:pPr>
          </w:p>
        </w:tc>
        <w:tc>
          <w:tcPr>
            <w:tcW w:w="3686" w:type="dxa"/>
            <w:vAlign w:val="center"/>
          </w:tcPr>
          <w:p w14:paraId="765F974A" w14:textId="77777777" w:rsidR="00014F40" w:rsidRDefault="00014F40" w:rsidP="00014F40">
            <w:pPr>
              <w:jc w:val="center"/>
            </w:pPr>
            <w:r>
              <w:rPr>
                <w:rFonts w:hint="eastAsia"/>
              </w:rPr>
              <w:t>麻しん（はしか）</w:t>
            </w:r>
          </w:p>
        </w:tc>
        <w:tc>
          <w:tcPr>
            <w:tcW w:w="5244" w:type="dxa"/>
          </w:tcPr>
          <w:p w14:paraId="4C3BF621" w14:textId="77777777" w:rsidR="00014F40" w:rsidRDefault="00014F40" w:rsidP="001178EC">
            <w:r w:rsidRPr="00B30066">
              <w:rPr>
                <w:rFonts w:hint="eastAsia"/>
              </w:rPr>
              <w:t>解熱した後三日を経過するまで</w:t>
            </w:r>
          </w:p>
        </w:tc>
      </w:tr>
      <w:tr w:rsidR="00014F40" w14:paraId="63CA2FB0" w14:textId="77777777" w:rsidTr="00F24472">
        <w:tc>
          <w:tcPr>
            <w:tcW w:w="1384" w:type="dxa"/>
            <w:vMerge/>
            <w:vAlign w:val="center"/>
          </w:tcPr>
          <w:p w14:paraId="41E7141D" w14:textId="77777777" w:rsidR="00014F40" w:rsidRDefault="00014F40" w:rsidP="00014F40">
            <w:pPr>
              <w:jc w:val="center"/>
            </w:pPr>
          </w:p>
        </w:tc>
        <w:tc>
          <w:tcPr>
            <w:tcW w:w="3686" w:type="dxa"/>
            <w:vAlign w:val="center"/>
          </w:tcPr>
          <w:p w14:paraId="58FB7ADE" w14:textId="77777777" w:rsidR="00014F40" w:rsidRDefault="00014F40" w:rsidP="00014F40">
            <w:pPr>
              <w:jc w:val="center"/>
            </w:pPr>
            <w:r>
              <w:rPr>
                <w:rFonts w:hint="eastAsia"/>
              </w:rPr>
              <w:t>流行性耳下腺炎</w:t>
            </w:r>
          </w:p>
        </w:tc>
        <w:tc>
          <w:tcPr>
            <w:tcW w:w="5244" w:type="dxa"/>
          </w:tcPr>
          <w:p w14:paraId="42A58ACA" w14:textId="77777777" w:rsidR="00014F40" w:rsidRDefault="00014F40" w:rsidP="00B30066">
            <w:r>
              <w:rPr>
                <w:rFonts w:hint="eastAsia"/>
              </w:rPr>
              <w:t>耳下腺炎の腫脹が発現した後五日を経過し，かつ，全身状態が良好になるまで</w:t>
            </w:r>
          </w:p>
        </w:tc>
      </w:tr>
      <w:tr w:rsidR="00014F40" w14:paraId="054CA10B" w14:textId="77777777" w:rsidTr="00F24472">
        <w:tc>
          <w:tcPr>
            <w:tcW w:w="1384" w:type="dxa"/>
            <w:vMerge/>
            <w:vAlign w:val="center"/>
          </w:tcPr>
          <w:p w14:paraId="5E9457A4" w14:textId="77777777" w:rsidR="00014F40" w:rsidRDefault="00014F40" w:rsidP="00014F40">
            <w:pPr>
              <w:jc w:val="center"/>
            </w:pPr>
          </w:p>
        </w:tc>
        <w:tc>
          <w:tcPr>
            <w:tcW w:w="3686" w:type="dxa"/>
            <w:vAlign w:val="center"/>
          </w:tcPr>
          <w:p w14:paraId="7BF30D36" w14:textId="77777777" w:rsidR="00014F40" w:rsidRDefault="00014F40" w:rsidP="00014F40">
            <w:pPr>
              <w:jc w:val="center"/>
            </w:pPr>
            <w:r>
              <w:rPr>
                <w:rFonts w:hint="eastAsia"/>
              </w:rPr>
              <w:t>風しん（三日はしか）</w:t>
            </w:r>
          </w:p>
        </w:tc>
        <w:tc>
          <w:tcPr>
            <w:tcW w:w="5244" w:type="dxa"/>
          </w:tcPr>
          <w:p w14:paraId="364EBA44" w14:textId="77777777" w:rsidR="00014F40" w:rsidRDefault="00014F40" w:rsidP="001178EC">
            <w:r w:rsidRPr="00B30066">
              <w:rPr>
                <w:rFonts w:hint="eastAsia"/>
              </w:rPr>
              <w:t>発しんが消失するまで</w:t>
            </w:r>
          </w:p>
        </w:tc>
      </w:tr>
      <w:tr w:rsidR="00014F40" w14:paraId="336E8352" w14:textId="77777777" w:rsidTr="00F24472">
        <w:tc>
          <w:tcPr>
            <w:tcW w:w="1384" w:type="dxa"/>
            <w:vMerge/>
            <w:vAlign w:val="center"/>
          </w:tcPr>
          <w:p w14:paraId="67CACA68" w14:textId="77777777" w:rsidR="00014F40" w:rsidRDefault="00014F40" w:rsidP="00014F40">
            <w:pPr>
              <w:jc w:val="center"/>
            </w:pPr>
          </w:p>
        </w:tc>
        <w:tc>
          <w:tcPr>
            <w:tcW w:w="3686" w:type="dxa"/>
            <w:vAlign w:val="center"/>
          </w:tcPr>
          <w:p w14:paraId="69C3E673" w14:textId="77777777" w:rsidR="00014F40" w:rsidRDefault="00014F40" w:rsidP="00014F40">
            <w:pPr>
              <w:jc w:val="center"/>
            </w:pPr>
            <w:r>
              <w:rPr>
                <w:rFonts w:hint="eastAsia"/>
              </w:rPr>
              <w:t>水痘（みずぼうそう）</w:t>
            </w:r>
          </w:p>
        </w:tc>
        <w:tc>
          <w:tcPr>
            <w:tcW w:w="5244" w:type="dxa"/>
          </w:tcPr>
          <w:p w14:paraId="1B6CAE7C" w14:textId="77777777" w:rsidR="00014F40" w:rsidRDefault="00014F40" w:rsidP="001178EC">
            <w:r w:rsidRPr="00B30066">
              <w:rPr>
                <w:rFonts w:hint="eastAsia"/>
              </w:rPr>
              <w:t>すべての発しんが痂皮化するまで</w:t>
            </w:r>
          </w:p>
        </w:tc>
      </w:tr>
      <w:tr w:rsidR="00014F40" w14:paraId="5E675BB6" w14:textId="77777777" w:rsidTr="00F24472">
        <w:tc>
          <w:tcPr>
            <w:tcW w:w="1384" w:type="dxa"/>
            <w:vMerge/>
            <w:vAlign w:val="center"/>
          </w:tcPr>
          <w:p w14:paraId="31B0A413" w14:textId="77777777" w:rsidR="00014F40" w:rsidRDefault="00014F40" w:rsidP="00014F40">
            <w:pPr>
              <w:jc w:val="center"/>
            </w:pPr>
          </w:p>
        </w:tc>
        <w:tc>
          <w:tcPr>
            <w:tcW w:w="3686" w:type="dxa"/>
            <w:vAlign w:val="center"/>
          </w:tcPr>
          <w:p w14:paraId="60934B16" w14:textId="77777777" w:rsidR="00014F40" w:rsidRDefault="00014F40" w:rsidP="00014F40">
            <w:pPr>
              <w:jc w:val="center"/>
            </w:pPr>
            <w:r>
              <w:rPr>
                <w:rFonts w:hint="eastAsia"/>
              </w:rPr>
              <w:t>咽頭結膜熱</w:t>
            </w:r>
          </w:p>
        </w:tc>
        <w:tc>
          <w:tcPr>
            <w:tcW w:w="5244" w:type="dxa"/>
          </w:tcPr>
          <w:p w14:paraId="0DB47133" w14:textId="77777777" w:rsidR="00014F40" w:rsidRDefault="00014F40" w:rsidP="001178EC">
            <w:r w:rsidRPr="00B30066">
              <w:rPr>
                <w:rFonts w:hint="eastAsia"/>
              </w:rPr>
              <w:t>主要症状が消退した後二日を経過するまで</w:t>
            </w:r>
          </w:p>
        </w:tc>
      </w:tr>
      <w:tr w:rsidR="00014F40" w14:paraId="4F18D9C2" w14:textId="77777777" w:rsidTr="00F24472">
        <w:tc>
          <w:tcPr>
            <w:tcW w:w="1384" w:type="dxa"/>
            <w:vMerge/>
            <w:vAlign w:val="center"/>
          </w:tcPr>
          <w:p w14:paraId="3E363912" w14:textId="77777777" w:rsidR="00014F40" w:rsidRDefault="00014F40" w:rsidP="00014F40">
            <w:pPr>
              <w:jc w:val="center"/>
            </w:pPr>
          </w:p>
        </w:tc>
        <w:tc>
          <w:tcPr>
            <w:tcW w:w="3686" w:type="dxa"/>
            <w:vAlign w:val="center"/>
          </w:tcPr>
          <w:p w14:paraId="41384D38" w14:textId="77777777" w:rsidR="00014F40" w:rsidRDefault="00014F40" w:rsidP="00014F40">
            <w:pPr>
              <w:jc w:val="center"/>
            </w:pPr>
            <w:r>
              <w:rPr>
                <w:rFonts w:hint="eastAsia"/>
              </w:rPr>
              <w:t>結核および髄膜炎菌性髄膜炎</w:t>
            </w:r>
          </w:p>
        </w:tc>
        <w:tc>
          <w:tcPr>
            <w:tcW w:w="5244" w:type="dxa"/>
          </w:tcPr>
          <w:p w14:paraId="27F7237A" w14:textId="77777777" w:rsidR="00014F40" w:rsidRDefault="00014F40" w:rsidP="00B30066">
            <w:r>
              <w:rPr>
                <w:rFonts w:hint="eastAsia"/>
              </w:rPr>
              <w:t>病状により学校医その他の医師において感染のおそれがないと認めるまで</w:t>
            </w:r>
          </w:p>
        </w:tc>
      </w:tr>
      <w:tr w:rsidR="001178EC" w14:paraId="0000CBE6" w14:textId="77777777" w:rsidTr="00F24472">
        <w:tc>
          <w:tcPr>
            <w:tcW w:w="1384" w:type="dxa"/>
            <w:vAlign w:val="center"/>
          </w:tcPr>
          <w:p w14:paraId="0766CA89" w14:textId="0B6F5E62" w:rsidR="001178EC" w:rsidRDefault="001178EC" w:rsidP="00014F40">
            <w:pPr>
              <w:jc w:val="center"/>
            </w:pPr>
            <w:r>
              <w:rPr>
                <w:rFonts w:hint="eastAsia"/>
              </w:rPr>
              <w:t>第三</w:t>
            </w:r>
            <w:r w:rsidR="00F24472">
              <w:rPr>
                <w:rFonts w:hint="eastAsia"/>
              </w:rPr>
              <w:t>種</w:t>
            </w:r>
          </w:p>
        </w:tc>
        <w:tc>
          <w:tcPr>
            <w:tcW w:w="3686" w:type="dxa"/>
          </w:tcPr>
          <w:p w14:paraId="139E8EA3" w14:textId="77777777" w:rsidR="00F24472" w:rsidRDefault="001178EC" w:rsidP="00F24472">
            <w:r>
              <w:rPr>
                <w:rFonts w:hint="eastAsia"/>
              </w:rPr>
              <w:t>コレラ　細菌性赤痢　パラチフス</w:t>
            </w:r>
          </w:p>
          <w:p w14:paraId="15065B07" w14:textId="44D2B052" w:rsidR="00F24472" w:rsidRDefault="00B30066" w:rsidP="00F24472">
            <w:r>
              <w:rPr>
                <w:rFonts w:hint="eastAsia"/>
              </w:rPr>
              <w:t>腸チフス　腸管出血性大腸菌感染症</w:t>
            </w:r>
          </w:p>
          <w:p w14:paraId="149173D3" w14:textId="77777777" w:rsidR="00F24472" w:rsidRDefault="00B30066" w:rsidP="00F24472">
            <w:r>
              <w:rPr>
                <w:rFonts w:hint="eastAsia"/>
              </w:rPr>
              <w:t>流行性角結膜炎　急性出血性結膜炎</w:t>
            </w:r>
          </w:p>
          <w:p w14:paraId="1CE73337" w14:textId="2B1529D7" w:rsidR="00B30066" w:rsidRDefault="00B30066" w:rsidP="00F24472">
            <w:r>
              <w:rPr>
                <w:rFonts w:hint="eastAsia"/>
              </w:rPr>
              <w:t>その他の伝染病</w:t>
            </w:r>
          </w:p>
        </w:tc>
        <w:tc>
          <w:tcPr>
            <w:tcW w:w="5244" w:type="dxa"/>
          </w:tcPr>
          <w:p w14:paraId="6CA48EA2" w14:textId="77777777" w:rsidR="001178EC" w:rsidRDefault="00014F40" w:rsidP="00014F40">
            <w:r>
              <w:rPr>
                <w:rFonts w:hint="eastAsia"/>
              </w:rPr>
              <w:t>病状により学校医その他の医師において感染のおそれがないと認めるまで</w:t>
            </w:r>
          </w:p>
        </w:tc>
      </w:tr>
    </w:tbl>
    <w:p w14:paraId="399AF186" w14:textId="77777777" w:rsidR="00014F40" w:rsidRDefault="00014F40" w:rsidP="00014F40">
      <w:r>
        <w:rPr>
          <w:rFonts w:hint="eastAsia"/>
        </w:rPr>
        <w:t>措置に係る手続きについて</w:t>
      </w:r>
    </w:p>
    <w:p w14:paraId="083079A7" w14:textId="77777777" w:rsidR="00014F40" w:rsidRDefault="00014F40" w:rsidP="00014F40">
      <w:r>
        <w:rPr>
          <w:rFonts w:hint="eastAsia"/>
        </w:rPr>
        <w:t>１．医師の診断を受けたら診断疾病名をお知らせください。</w:t>
      </w:r>
    </w:p>
    <w:p w14:paraId="46B7A002" w14:textId="77777777" w:rsidR="00014F40" w:rsidRDefault="00014F40" w:rsidP="00014F40">
      <w:pPr>
        <w:ind w:left="210" w:hangingChars="100" w:hanging="210"/>
      </w:pPr>
      <w:r>
        <w:rPr>
          <w:rFonts w:hint="eastAsia"/>
        </w:rPr>
        <w:t>２．出席停止の措置をとる場合は，医師による罹患証明が必要です。病院で発行される診断書が原則となります。しかし，病院などのご厚意により，学校の発行する罹患証明に記載していただける場合は，下記へ記入をお願いしてください（但し，学校発行の罹患証明でも費用の負担が生じる場合があります）。</w:t>
      </w:r>
    </w:p>
    <w:p w14:paraId="0D824A3E" w14:textId="77777777" w:rsidR="001178EC" w:rsidRDefault="00014F40" w:rsidP="00014F40">
      <w:pPr>
        <w:ind w:firstLineChars="200" w:firstLine="420"/>
      </w:pPr>
      <w:r>
        <w:rPr>
          <w:rFonts w:hint="eastAsia"/>
        </w:rPr>
        <w:t>証明書は，生徒が回復し登校する際，学級担任へ提出してください。</w:t>
      </w:r>
    </w:p>
    <w:p w14:paraId="5A66D402" w14:textId="77777777" w:rsidR="00014F40" w:rsidRDefault="00014F40" w:rsidP="00C24F5A"/>
    <w:p w14:paraId="35E0465D" w14:textId="77777777" w:rsidR="00014F40" w:rsidRDefault="00014F40" w:rsidP="00014F40">
      <w:pPr>
        <w:jc w:val="center"/>
      </w:pPr>
      <w:r>
        <w:rPr>
          <w:rFonts w:hint="eastAsia"/>
        </w:rPr>
        <w:t>・・・・・・・・・・・・・・・・・・・き・・り・・と・・り・・・・・・・・・・・・・・・・・・・</w:t>
      </w:r>
    </w:p>
    <w:p w14:paraId="77F83E5D" w14:textId="77777777" w:rsidR="00014F40" w:rsidRPr="00014F40" w:rsidRDefault="00014F40" w:rsidP="00014F40"/>
    <w:p w14:paraId="097D7B29" w14:textId="77777777" w:rsidR="00014F40" w:rsidRDefault="00014F40" w:rsidP="00014F40">
      <w:pPr>
        <w:jc w:val="center"/>
      </w:pPr>
      <w:bookmarkStart w:id="1" w:name="_Hlk134457496"/>
      <w:r w:rsidRPr="00014F40">
        <w:rPr>
          <w:rFonts w:hint="eastAsia"/>
        </w:rPr>
        <w:t>学校感染症</w:t>
      </w:r>
      <w:r>
        <w:rPr>
          <w:rFonts w:hint="eastAsia"/>
        </w:rPr>
        <w:t xml:space="preserve">　</w:t>
      </w:r>
      <w:r w:rsidRPr="00014F40">
        <w:rPr>
          <w:rFonts w:hint="eastAsia"/>
        </w:rPr>
        <w:t>罹患証明書</w:t>
      </w:r>
      <w:bookmarkEnd w:id="1"/>
    </w:p>
    <w:tbl>
      <w:tblPr>
        <w:tblStyle w:val="a3"/>
        <w:tblW w:w="0" w:type="auto"/>
        <w:jc w:val="center"/>
        <w:tblLook w:val="04A0" w:firstRow="1" w:lastRow="0" w:firstColumn="1" w:lastColumn="0" w:noHBand="0" w:noVBand="1"/>
      </w:tblPr>
      <w:tblGrid>
        <w:gridCol w:w="3510"/>
        <w:gridCol w:w="5387"/>
      </w:tblGrid>
      <w:tr w:rsidR="00014F40" w14:paraId="08E6CF89" w14:textId="77777777" w:rsidTr="00014F40">
        <w:trPr>
          <w:trHeight w:val="454"/>
          <w:jc w:val="center"/>
        </w:trPr>
        <w:tc>
          <w:tcPr>
            <w:tcW w:w="3510" w:type="dxa"/>
            <w:vAlign w:val="center"/>
          </w:tcPr>
          <w:p w14:paraId="2DEA93A9" w14:textId="77777777" w:rsidR="00014F40" w:rsidRDefault="00014F40" w:rsidP="00014F40">
            <w:pPr>
              <w:jc w:val="center"/>
            </w:pPr>
            <w:r>
              <w:rPr>
                <w:rFonts w:hint="eastAsia"/>
              </w:rPr>
              <w:t>年・組</w:t>
            </w:r>
          </w:p>
        </w:tc>
        <w:tc>
          <w:tcPr>
            <w:tcW w:w="5387" w:type="dxa"/>
            <w:vAlign w:val="center"/>
          </w:tcPr>
          <w:p w14:paraId="1B2F83FA" w14:textId="77777777" w:rsidR="00014F40" w:rsidRDefault="00014F40" w:rsidP="00014F40">
            <w:pPr>
              <w:jc w:val="center"/>
            </w:pPr>
            <w:r>
              <w:rPr>
                <w:rFonts w:hint="eastAsia"/>
              </w:rPr>
              <w:t>真和中学・高等学校　　　　年　　　　組</w:t>
            </w:r>
          </w:p>
        </w:tc>
      </w:tr>
      <w:tr w:rsidR="00014F40" w14:paraId="1DF9E89D" w14:textId="77777777" w:rsidTr="00014F40">
        <w:trPr>
          <w:trHeight w:val="454"/>
          <w:jc w:val="center"/>
        </w:trPr>
        <w:tc>
          <w:tcPr>
            <w:tcW w:w="3510" w:type="dxa"/>
            <w:vAlign w:val="center"/>
          </w:tcPr>
          <w:p w14:paraId="19B479B6" w14:textId="77777777" w:rsidR="00014F40" w:rsidRDefault="00014F40" w:rsidP="00014F40">
            <w:pPr>
              <w:jc w:val="center"/>
            </w:pPr>
            <w:r>
              <w:rPr>
                <w:rFonts w:hint="eastAsia"/>
              </w:rPr>
              <w:t>氏　名</w:t>
            </w:r>
          </w:p>
        </w:tc>
        <w:tc>
          <w:tcPr>
            <w:tcW w:w="5387" w:type="dxa"/>
          </w:tcPr>
          <w:p w14:paraId="3BAE04C6" w14:textId="77777777" w:rsidR="00014F40" w:rsidRDefault="00014F40" w:rsidP="00014F40"/>
        </w:tc>
      </w:tr>
      <w:tr w:rsidR="00014F40" w14:paraId="5D4C4603" w14:textId="77777777" w:rsidTr="00014F40">
        <w:trPr>
          <w:trHeight w:val="454"/>
          <w:jc w:val="center"/>
        </w:trPr>
        <w:tc>
          <w:tcPr>
            <w:tcW w:w="3510" w:type="dxa"/>
            <w:vAlign w:val="center"/>
          </w:tcPr>
          <w:p w14:paraId="175D89DB" w14:textId="77777777" w:rsidR="00014F40" w:rsidRDefault="00014F40" w:rsidP="00014F40">
            <w:pPr>
              <w:jc w:val="center"/>
            </w:pPr>
            <w:r>
              <w:rPr>
                <w:rFonts w:hint="eastAsia"/>
              </w:rPr>
              <w:t>診断疾病名</w:t>
            </w:r>
          </w:p>
        </w:tc>
        <w:tc>
          <w:tcPr>
            <w:tcW w:w="5387" w:type="dxa"/>
          </w:tcPr>
          <w:p w14:paraId="7A7E6096" w14:textId="77777777" w:rsidR="00014F40" w:rsidRDefault="00014F40" w:rsidP="00014F40"/>
        </w:tc>
      </w:tr>
      <w:tr w:rsidR="00014F40" w14:paraId="483C0301" w14:textId="77777777" w:rsidTr="00014F40">
        <w:trPr>
          <w:trHeight w:val="454"/>
          <w:jc w:val="center"/>
        </w:trPr>
        <w:tc>
          <w:tcPr>
            <w:tcW w:w="3510" w:type="dxa"/>
            <w:vAlign w:val="center"/>
          </w:tcPr>
          <w:p w14:paraId="5226D41B" w14:textId="77777777" w:rsidR="00014F40" w:rsidRDefault="00014F40" w:rsidP="00014F40">
            <w:pPr>
              <w:jc w:val="center"/>
            </w:pPr>
            <w:r>
              <w:rPr>
                <w:rFonts w:hint="eastAsia"/>
              </w:rPr>
              <w:t>出席停止の必要期間</w:t>
            </w:r>
          </w:p>
        </w:tc>
        <w:tc>
          <w:tcPr>
            <w:tcW w:w="5387" w:type="dxa"/>
            <w:vAlign w:val="center"/>
          </w:tcPr>
          <w:p w14:paraId="36A3E2AE" w14:textId="77777777" w:rsidR="00014F40" w:rsidRDefault="00014F40" w:rsidP="00014F40">
            <w:pPr>
              <w:jc w:val="center"/>
            </w:pPr>
            <w:r>
              <w:rPr>
                <w:rFonts w:hint="eastAsia"/>
              </w:rPr>
              <w:t>月　　　日　　～　　　　月　　　日</w:t>
            </w:r>
          </w:p>
        </w:tc>
      </w:tr>
      <w:tr w:rsidR="00014F40" w14:paraId="5E799BE7" w14:textId="77777777" w:rsidTr="00014F40">
        <w:trPr>
          <w:trHeight w:val="454"/>
          <w:jc w:val="center"/>
        </w:trPr>
        <w:tc>
          <w:tcPr>
            <w:tcW w:w="3510" w:type="dxa"/>
            <w:vAlign w:val="center"/>
          </w:tcPr>
          <w:p w14:paraId="414C1661" w14:textId="77777777" w:rsidR="00014F40" w:rsidRDefault="00014F40" w:rsidP="00014F40">
            <w:pPr>
              <w:jc w:val="center"/>
            </w:pPr>
            <w:r>
              <w:rPr>
                <w:rFonts w:hint="eastAsia"/>
              </w:rPr>
              <w:t>備　考</w:t>
            </w:r>
          </w:p>
        </w:tc>
        <w:tc>
          <w:tcPr>
            <w:tcW w:w="5387" w:type="dxa"/>
          </w:tcPr>
          <w:p w14:paraId="1F0358FD" w14:textId="77777777" w:rsidR="00014F40" w:rsidRDefault="00014F40" w:rsidP="00014F40"/>
        </w:tc>
      </w:tr>
    </w:tbl>
    <w:p w14:paraId="7A5EDD62" w14:textId="77777777" w:rsidR="00014F40" w:rsidRDefault="00014F40" w:rsidP="00014F40">
      <w:pPr>
        <w:ind w:firstLineChars="300" w:firstLine="630"/>
      </w:pPr>
      <w:r>
        <w:rPr>
          <w:rFonts w:hint="eastAsia"/>
        </w:rPr>
        <w:t>上記のとおり証明します。</w:t>
      </w:r>
    </w:p>
    <w:p w14:paraId="245FEB18" w14:textId="77777777" w:rsidR="00014F40" w:rsidRDefault="00014F40" w:rsidP="00014F40">
      <w:pPr>
        <w:ind w:firstLineChars="300" w:firstLine="630"/>
      </w:pPr>
    </w:p>
    <w:p w14:paraId="0ECAC02E" w14:textId="77777777" w:rsidR="00014F40" w:rsidRDefault="00014F40" w:rsidP="00014F40">
      <w:r>
        <w:rPr>
          <w:rFonts w:hint="eastAsia"/>
        </w:rPr>
        <w:t xml:space="preserve">　　　　令和　　　年　　　月　　　日</w:t>
      </w:r>
    </w:p>
    <w:p w14:paraId="64AAB284" w14:textId="77777777" w:rsidR="00014F40" w:rsidRDefault="00014F40" w:rsidP="00014F40">
      <w:pPr>
        <w:ind w:left="3360" w:firstLine="840"/>
      </w:pPr>
      <w:r>
        <w:rPr>
          <w:rFonts w:hint="eastAsia"/>
        </w:rPr>
        <w:t>医療機関名</w:t>
      </w:r>
    </w:p>
    <w:p w14:paraId="5AEE19E0" w14:textId="77777777" w:rsidR="002B1110" w:rsidRDefault="002B1110" w:rsidP="00014F40">
      <w:pPr>
        <w:ind w:left="3360" w:firstLine="840"/>
      </w:pPr>
    </w:p>
    <w:p w14:paraId="2DD6BFD7" w14:textId="09F018A5" w:rsidR="00014F40" w:rsidRPr="00014F40" w:rsidRDefault="00014F40" w:rsidP="00014F40">
      <w:pPr>
        <w:ind w:left="3360" w:firstLine="840"/>
      </w:pPr>
      <w:r>
        <w:rPr>
          <w:rFonts w:hint="eastAsia"/>
        </w:rPr>
        <w:t>医師名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印</w:t>
      </w:r>
    </w:p>
    <w:sectPr w:rsidR="00014F40" w:rsidRPr="00014F40" w:rsidSect="002B1110">
      <w:pgSz w:w="11906" w:h="16838" w:code="9"/>
      <w:pgMar w:top="680" w:right="851" w:bottom="680" w:left="851"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hideSpellingErrors/>
  <w:hideGrammaticalErrors/>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EC"/>
    <w:rsid w:val="00014F40"/>
    <w:rsid w:val="001178EC"/>
    <w:rsid w:val="002B1110"/>
    <w:rsid w:val="003836F9"/>
    <w:rsid w:val="00796415"/>
    <w:rsid w:val="00B30066"/>
    <w:rsid w:val="00C24F5A"/>
    <w:rsid w:val="00C36E1F"/>
    <w:rsid w:val="00E6669A"/>
    <w:rsid w:val="00F2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28B61"/>
  <w15:docId w15:val="{50773CBD-D0B8-4D86-9C75-23F76BA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野田剛</dc:creator>
  <cp:lastModifiedBy>T T</cp:lastModifiedBy>
  <cp:revision>2</cp:revision>
  <cp:lastPrinted>2023-05-08T08:00:00Z</cp:lastPrinted>
  <dcterms:created xsi:type="dcterms:W3CDTF">2023-05-08T08:21:00Z</dcterms:created>
  <dcterms:modified xsi:type="dcterms:W3CDTF">2023-05-08T08:21:00Z</dcterms:modified>
</cp:coreProperties>
</file>